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513F6" w14:textId="161B4880" w:rsidR="00B96EC6" w:rsidRPr="00B96EC6" w:rsidRDefault="00516C7F" w:rsidP="00B96EC6">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color w:val="000000"/>
          <w:sz w:val="24"/>
          <w:szCs w:val="24"/>
        </w:rPr>
        <w:t>Annual Doctoral Conference 2018</w:t>
      </w:r>
    </w:p>
    <w:p w14:paraId="6F8BA04D" w14:textId="77777777" w:rsidR="00B96EC6" w:rsidRPr="00B96EC6" w:rsidRDefault="00B96EC6" w:rsidP="00B96EC6">
      <w:pPr>
        <w:spacing w:after="0" w:line="240" w:lineRule="auto"/>
        <w:rPr>
          <w:rFonts w:ascii="Times New Roman" w:eastAsia="Times New Roman" w:hAnsi="Times New Roman" w:cs="Times New Roman"/>
          <w:sz w:val="24"/>
          <w:szCs w:val="24"/>
        </w:rPr>
      </w:pPr>
      <w:r w:rsidRPr="00B96EC6">
        <w:rPr>
          <w:rFonts w:ascii="Times New Roman" w:eastAsia="Times New Roman" w:hAnsi="Times New Roman" w:cs="Times New Roman"/>
          <w:color w:val="000000"/>
          <w:sz w:val="24"/>
          <w:szCs w:val="24"/>
        </w:rPr>
        <w:t>Abstract</w:t>
      </w:r>
    </w:p>
    <w:p w14:paraId="5A91A54E" w14:textId="77777777" w:rsidR="00B96EC6" w:rsidRPr="00B96EC6" w:rsidRDefault="00B96EC6" w:rsidP="00B96EC6">
      <w:pPr>
        <w:spacing w:after="0" w:line="240" w:lineRule="auto"/>
        <w:rPr>
          <w:rFonts w:ascii="Times New Roman" w:eastAsia="Times New Roman" w:hAnsi="Times New Roman" w:cs="Times New Roman"/>
          <w:sz w:val="24"/>
          <w:szCs w:val="24"/>
        </w:rPr>
      </w:pPr>
    </w:p>
    <w:p w14:paraId="558E400E" w14:textId="319964A5" w:rsidR="00B96EC6" w:rsidRPr="00B96EC6" w:rsidRDefault="006913C1" w:rsidP="00B96E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Macroprudential regulation in Southeast Asian countries</w:t>
      </w:r>
    </w:p>
    <w:p w14:paraId="4D3C2D14" w14:textId="77777777" w:rsidR="00B96EC6" w:rsidRDefault="00B96EC6" w:rsidP="00B96EC6">
      <w:pPr>
        <w:spacing w:after="0" w:line="240" w:lineRule="auto"/>
        <w:rPr>
          <w:rFonts w:ascii="Times New Roman" w:eastAsia="Times New Roman" w:hAnsi="Times New Roman" w:cs="Times New Roman"/>
          <w:sz w:val="24"/>
          <w:szCs w:val="24"/>
        </w:rPr>
      </w:pPr>
    </w:p>
    <w:p w14:paraId="189A49DC" w14:textId="6DD4DD77" w:rsidR="00E53610" w:rsidRDefault="00E53610" w:rsidP="00E536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2007 – 2009</w:t>
      </w:r>
      <w:r w:rsidR="003B182B">
        <w:rPr>
          <w:rFonts w:ascii="Times New Roman" w:eastAsia="Times New Roman" w:hAnsi="Times New Roman" w:cs="Times New Roman"/>
          <w:color w:val="000000"/>
          <w:sz w:val="24"/>
          <w:szCs w:val="24"/>
        </w:rPr>
        <w:t xml:space="preserve"> global</w:t>
      </w:r>
      <w:r>
        <w:rPr>
          <w:rFonts w:ascii="Times New Roman" w:eastAsia="Times New Roman" w:hAnsi="Times New Roman" w:cs="Times New Roman"/>
          <w:color w:val="000000"/>
          <w:sz w:val="24"/>
          <w:szCs w:val="24"/>
        </w:rPr>
        <w:t xml:space="preserve"> financial crises showed that a financial system can fail even if financial firms i</w:t>
      </w:r>
      <w:r w:rsidR="00FE4365">
        <w:rPr>
          <w:rFonts w:ascii="Times New Roman" w:eastAsia="Times New Roman" w:hAnsi="Times New Roman" w:cs="Times New Roman"/>
          <w:color w:val="000000"/>
          <w:sz w:val="24"/>
          <w:szCs w:val="24"/>
        </w:rPr>
        <w:t>ndividually seem</w:t>
      </w:r>
      <w:r>
        <w:rPr>
          <w:rFonts w:ascii="Times New Roman" w:eastAsia="Times New Roman" w:hAnsi="Times New Roman" w:cs="Times New Roman"/>
          <w:color w:val="000000"/>
          <w:sz w:val="24"/>
          <w:szCs w:val="24"/>
        </w:rPr>
        <w:t xml:space="preserve"> to </w:t>
      </w:r>
      <w:r w:rsidR="00CA6B24">
        <w:rPr>
          <w:rFonts w:ascii="Times New Roman" w:eastAsia="Times New Roman" w:hAnsi="Times New Roman" w:cs="Times New Roman"/>
          <w:color w:val="000000"/>
          <w:sz w:val="24"/>
          <w:szCs w:val="24"/>
        </w:rPr>
        <w:t>act</w:t>
      </w:r>
      <w:r>
        <w:rPr>
          <w:rFonts w:ascii="Times New Roman" w:eastAsia="Times New Roman" w:hAnsi="Times New Roman" w:cs="Times New Roman"/>
          <w:color w:val="000000"/>
          <w:sz w:val="24"/>
          <w:szCs w:val="24"/>
        </w:rPr>
        <w:t xml:space="preserve"> prudent</w:t>
      </w:r>
      <w:r w:rsidR="00CA6B24">
        <w:rPr>
          <w:rFonts w:ascii="Times New Roman" w:eastAsia="Times New Roman" w:hAnsi="Times New Roman" w:cs="Times New Roman"/>
          <w:color w:val="000000"/>
          <w:sz w:val="24"/>
          <w:szCs w:val="24"/>
        </w:rPr>
        <w:t>ly</w:t>
      </w:r>
      <w:r>
        <w:rPr>
          <w:rFonts w:ascii="Times New Roman" w:eastAsia="Times New Roman" w:hAnsi="Times New Roman" w:cs="Times New Roman"/>
          <w:color w:val="000000"/>
          <w:sz w:val="24"/>
          <w:szCs w:val="24"/>
        </w:rPr>
        <w:t xml:space="preserve"> and function</w:t>
      </w:r>
      <w:r w:rsidR="00CA6B24">
        <w:rPr>
          <w:rFonts w:ascii="Times New Roman" w:eastAsia="Times New Roman" w:hAnsi="Times New Roman" w:cs="Times New Roman"/>
          <w:color w:val="000000"/>
          <w:sz w:val="24"/>
          <w:szCs w:val="24"/>
        </w:rPr>
        <w:t xml:space="preserve"> soundly</w:t>
      </w:r>
      <w:r>
        <w:rPr>
          <w:rFonts w:ascii="Times New Roman" w:eastAsia="Times New Roman" w:hAnsi="Times New Roman" w:cs="Times New Roman"/>
          <w:color w:val="000000"/>
          <w:sz w:val="24"/>
          <w:szCs w:val="24"/>
        </w:rPr>
        <w:t xml:space="preserve">. This drew </w:t>
      </w:r>
      <w:r w:rsidR="0015119C">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attention</w:t>
      </w:r>
      <w:r w:rsidR="0015119C">
        <w:rPr>
          <w:rFonts w:ascii="Times New Roman" w:eastAsia="Times New Roman" w:hAnsi="Times New Roman" w:cs="Times New Roman"/>
          <w:color w:val="000000"/>
          <w:sz w:val="24"/>
          <w:szCs w:val="24"/>
        </w:rPr>
        <w:t xml:space="preserve"> of researchers and regulators</w:t>
      </w:r>
      <w:r>
        <w:rPr>
          <w:rFonts w:ascii="Times New Roman" w:eastAsia="Times New Roman" w:hAnsi="Times New Roman" w:cs="Times New Roman"/>
          <w:color w:val="000000"/>
          <w:sz w:val="24"/>
          <w:szCs w:val="24"/>
        </w:rPr>
        <w:t xml:space="preserve"> to the analysis of systemic risks</w:t>
      </w:r>
      <w:r w:rsidR="00AB2D98">
        <w:rPr>
          <w:rFonts w:ascii="Times New Roman" w:eastAsia="Times New Roman" w:hAnsi="Times New Roman" w:cs="Times New Roman"/>
          <w:color w:val="000000"/>
          <w:sz w:val="24"/>
          <w:szCs w:val="24"/>
        </w:rPr>
        <w:t xml:space="preserve"> and</w:t>
      </w:r>
      <w:r w:rsidR="003003EF">
        <w:rPr>
          <w:rFonts w:ascii="Times New Roman" w:eastAsia="Times New Roman" w:hAnsi="Times New Roman" w:cs="Times New Roman"/>
          <w:color w:val="000000"/>
          <w:sz w:val="24"/>
          <w:szCs w:val="24"/>
        </w:rPr>
        <w:t xml:space="preserve"> the health of the overall financial system</w:t>
      </w:r>
      <w:r w:rsidR="00CA6B2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5119C">
        <w:rPr>
          <w:rFonts w:ascii="Times New Roman" w:eastAsia="Times New Roman" w:hAnsi="Times New Roman" w:cs="Times New Roman"/>
          <w:color w:val="000000"/>
          <w:sz w:val="24"/>
          <w:szCs w:val="24"/>
        </w:rPr>
        <w:t>as well as</w:t>
      </w:r>
      <w:r>
        <w:rPr>
          <w:rFonts w:ascii="Times New Roman" w:eastAsia="Times New Roman" w:hAnsi="Times New Roman" w:cs="Times New Roman"/>
          <w:color w:val="000000"/>
          <w:sz w:val="24"/>
          <w:szCs w:val="24"/>
        </w:rPr>
        <w:t xml:space="preserve"> on macroprudential regulatory solutions.</w:t>
      </w:r>
      <w:r w:rsidR="009B5392">
        <w:rPr>
          <w:rFonts w:ascii="Times New Roman" w:eastAsia="Times New Roman" w:hAnsi="Times New Roman" w:cs="Times New Roman"/>
          <w:color w:val="000000"/>
          <w:sz w:val="24"/>
          <w:szCs w:val="24"/>
        </w:rPr>
        <w:t xml:space="preserve"> Macroprudential regulation is defined as a counterpart </w:t>
      </w:r>
      <w:r w:rsidR="004B58CD">
        <w:rPr>
          <w:rFonts w:ascii="Times New Roman" w:eastAsia="Times New Roman" w:hAnsi="Times New Roman" w:cs="Times New Roman"/>
          <w:color w:val="000000"/>
          <w:sz w:val="24"/>
          <w:szCs w:val="24"/>
        </w:rPr>
        <w:t>of</w:t>
      </w:r>
      <w:r w:rsidR="009B5392">
        <w:rPr>
          <w:rFonts w:ascii="Times New Roman" w:eastAsia="Times New Roman" w:hAnsi="Times New Roman" w:cs="Times New Roman"/>
          <w:color w:val="000000"/>
          <w:sz w:val="24"/>
          <w:szCs w:val="24"/>
        </w:rPr>
        <w:t xml:space="preserve"> microprudential regulation: while the latter is aiming to limit the distress of individual financial institutions, the goal of former is to </w:t>
      </w:r>
      <w:r w:rsidR="00A86A5D">
        <w:rPr>
          <w:rFonts w:ascii="Times New Roman" w:eastAsia="Times New Roman" w:hAnsi="Times New Roman" w:cs="Times New Roman"/>
          <w:color w:val="000000"/>
          <w:sz w:val="24"/>
          <w:szCs w:val="24"/>
        </w:rPr>
        <w:t xml:space="preserve">minimise </w:t>
      </w:r>
      <w:r w:rsidR="003B182B">
        <w:rPr>
          <w:rFonts w:ascii="Times New Roman" w:eastAsia="Times New Roman" w:hAnsi="Times New Roman" w:cs="Times New Roman"/>
          <w:color w:val="000000"/>
          <w:sz w:val="24"/>
          <w:szCs w:val="24"/>
        </w:rPr>
        <w:t>system-wide</w:t>
      </w:r>
      <w:r w:rsidR="009B5392">
        <w:rPr>
          <w:rFonts w:ascii="Times New Roman" w:eastAsia="Times New Roman" w:hAnsi="Times New Roman" w:cs="Times New Roman"/>
          <w:color w:val="000000"/>
          <w:sz w:val="24"/>
          <w:szCs w:val="24"/>
        </w:rPr>
        <w:t xml:space="preserve"> distress. </w:t>
      </w:r>
      <w:r w:rsidR="00A57309">
        <w:rPr>
          <w:rFonts w:ascii="Times New Roman" w:eastAsia="Times New Roman" w:hAnsi="Times New Roman" w:cs="Times New Roman"/>
          <w:color w:val="000000"/>
          <w:sz w:val="24"/>
          <w:szCs w:val="24"/>
        </w:rPr>
        <w:t xml:space="preserve">The conceptual </w:t>
      </w:r>
      <w:r w:rsidR="00806B2E">
        <w:rPr>
          <w:rFonts w:ascii="Times New Roman" w:eastAsia="Times New Roman" w:hAnsi="Times New Roman" w:cs="Times New Roman"/>
          <w:color w:val="000000"/>
          <w:sz w:val="24"/>
          <w:szCs w:val="24"/>
        </w:rPr>
        <w:t>distinction between these two regulatory approaches is rather clear</w:t>
      </w:r>
      <w:r w:rsidR="004155A8">
        <w:rPr>
          <w:rFonts w:ascii="Times New Roman" w:eastAsia="Times New Roman" w:hAnsi="Times New Roman" w:cs="Times New Roman"/>
          <w:color w:val="000000"/>
          <w:sz w:val="24"/>
          <w:szCs w:val="24"/>
        </w:rPr>
        <w:t xml:space="preserve"> despite of the fact that </w:t>
      </w:r>
      <w:r w:rsidR="00A57309">
        <w:rPr>
          <w:rFonts w:ascii="Times New Roman" w:eastAsia="Times New Roman" w:hAnsi="Times New Roman" w:cs="Times New Roman"/>
          <w:color w:val="000000"/>
          <w:sz w:val="24"/>
          <w:szCs w:val="24"/>
        </w:rPr>
        <w:t>n</w:t>
      </w:r>
      <w:r w:rsidR="00806B2E">
        <w:rPr>
          <w:rFonts w:ascii="Times New Roman" w:eastAsia="Times New Roman" w:hAnsi="Times New Roman" w:cs="Times New Roman"/>
          <w:color w:val="000000"/>
          <w:sz w:val="24"/>
          <w:szCs w:val="24"/>
        </w:rPr>
        <w:t>o common definition of systemic risk</w:t>
      </w:r>
      <w:r w:rsidR="00D101A2">
        <w:rPr>
          <w:rFonts w:ascii="Times New Roman" w:eastAsia="Times New Roman" w:hAnsi="Times New Roman" w:cs="Times New Roman"/>
          <w:color w:val="000000"/>
          <w:sz w:val="24"/>
          <w:szCs w:val="24"/>
        </w:rPr>
        <w:t xml:space="preserve"> </w:t>
      </w:r>
      <w:r w:rsidR="00A57309">
        <w:rPr>
          <w:rFonts w:ascii="Times New Roman" w:eastAsia="Times New Roman" w:hAnsi="Times New Roman" w:cs="Times New Roman"/>
          <w:color w:val="000000"/>
          <w:sz w:val="24"/>
          <w:szCs w:val="24"/>
        </w:rPr>
        <w:t>–</w:t>
      </w:r>
      <w:r w:rsidR="00D101A2">
        <w:rPr>
          <w:rFonts w:ascii="Times New Roman" w:eastAsia="Times New Roman" w:hAnsi="Times New Roman" w:cs="Times New Roman"/>
          <w:color w:val="000000"/>
          <w:sz w:val="24"/>
          <w:szCs w:val="24"/>
        </w:rPr>
        <w:t xml:space="preserve"> </w:t>
      </w:r>
      <w:r w:rsidR="00806B2E">
        <w:rPr>
          <w:rFonts w:ascii="Times New Roman" w:eastAsia="Times New Roman" w:hAnsi="Times New Roman" w:cs="Times New Roman"/>
          <w:color w:val="000000"/>
          <w:sz w:val="24"/>
          <w:szCs w:val="24"/>
        </w:rPr>
        <w:t xml:space="preserve">the core concept of macroprudential regulation </w:t>
      </w:r>
      <w:r w:rsidR="00A57309">
        <w:rPr>
          <w:rFonts w:ascii="Times New Roman" w:eastAsia="Times New Roman" w:hAnsi="Times New Roman" w:cs="Times New Roman"/>
          <w:color w:val="000000"/>
          <w:sz w:val="24"/>
          <w:szCs w:val="24"/>
        </w:rPr>
        <w:t>– has</w:t>
      </w:r>
      <w:r w:rsidR="00806B2E">
        <w:rPr>
          <w:rFonts w:ascii="Times New Roman" w:eastAsia="Times New Roman" w:hAnsi="Times New Roman" w:cs="Times New Roman"/>
          <w:color w:val="000000"/>
          <w:sz w:val="24"/>
          <w:szCs w:val="24"/>
        </w:rPr>
        <w:t xml:space="preserve"> emerged so far.</w:t>
      </w:r>
      <w:r w:rsidR="00163423">
        <w:rPr>
          <w:rFonts w:ascii="Times New Roman" w:eastAsia="Times New Roman" w:hAnsi="Times New Roman" w:cs="Times New Roman"/>
          <w:color w:val="000000"/>
          <w:sz w:val="24"/>
          <w:szCs w:val="24"/>
        </w:rPr>
        <w:t xml:space="preserve"> </w:t>
      </w:r>
    </w:p>
    <w:p w14:paraId="72103E7B" w14:textId="77777777" w:rsidR="003003EF" w:rsidRDefault="003003EF" w:rsidP="00E53610">
      <w:pPr>
        <w:spacing w:after="0" w:line="240" w:lineRule="auto"/>
        <w:jc w:val="both"/>
        <w:rPr>
          <w:rFonts w:ascii="Times New Roman" w:eastAsia="Times New Roman" w:hAnsi="Times New Roman" w:cs="Times New Roman"/>
          <w:color w:val="000000"/>
          <w:sz w:val="24"/>
          <w:szCs w:val="24"/>
        </w:rPr>
      </w:pPr>
    </w:p>
    <w:p w14:paraId="676DB7B8" w14:textId="315C09BB" w:rsidR="006C201D" w:rsidRDefault="00AF717C" w:rsidP="009B53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Although, the idea of macroprudential regulation </w:t>
      </w:r>
      <w:r w:rsidR="004E2A7C">
        <w:rPr>
          <w:rFonts w:ascii="Times New Roman" w:eastAsia="Times New Roman" w:hAnsi="Times New Roman" w:cs="Times New Roman"/>
          <w:color w:val="000000"/>
          <w:sz w:val="24"/>
          <w:szCs w:val="24"/>
        </w:rPr>
        <w:t>became part of the mainstream discourse</w:t>
      </w:r>
      <w:r>
        <w:rPr>
          <w:rFonts w:ascii="Times New Roman" w:eastAsia="Times New Roman" w:hAnsi="Times New Roman" w:cs="Times New Roman"/>
          <w:color w:val="000000"/>
          <w:sz w:val="24"/>
          <w:szCs w:val="24"/>
        </w:rPr>
        <w:t xml:space="preserve"> only after the 2007 – 2009 financial crises, </w:t>
      </w:r>
      <w:r w:rsidR="006C201D">
        <w:rPr>
          <w:rFonts w:ascii="Times New Roman" w:eastAsia="Times New Roman" w:hAnsi="Times New Roman" w:cs="Times New Roman"/>
          <w:color w:val="000000"/>
          <w:sz w:val="24"/>
          <w:szCs w:val="24"/>
        </w:rPr>
        <w:t>its history goes back to the 1970s and it has been promoted by the Bank of International Settlements since the early 2000s. Hence, a</w:t>
      </w:r>
      <w:r w:rsidR="004155A8">
        <w:rPr>
          <w:rFonts w:ascii="Times New Roman" w:eastAsia="Times New Roman" w:hAnsi="Times New Roman" w:cs="Times New Roman"/>
          <w:color w:val="000000"/>
          <w:sz w:val="24"/>
          <w:szCs w:val="24"/>
        </w:rPr>
        <w:t xml:space="preserve"> wide range of macroprudential policy tools have been defined, which are all aiming to address diverse aspec</w:t>
      </w:r>
      <w:r w:rsidR="006C201D">
        <w:rPr>
          <w:rFonts w:ascii="Times New Roman" w:eastAsia="Times New Roman" w:hAnsi="Times New Roman" w:cs="Times New Roman"/>
          <w:color w:val="000000"/>
          <w:sz w:val="24"/>
          <w:szCs w:val="24"/>
        </w:rPr>
        <w:t>ts of possible systematic risk.</w:t>
      </w:r>
    </w:p>
    <w:p w14:paraId="38AD8445" w14:textId="77777777" w:rsidR="006C201D" w:rsidRDefault="006C201D" w:rsidP="009B5392">
      <w:pPr>
        <w:spacing w:after="0" w:line="240" w:lineRule="auto"/>
        <w:jc w:val="both"/>
        <w:rPr>
          <w:rFonts w:ascii="Times New Roman" w:eastAsia="Times New Roman" w:hAnsi="Times New Roman" w:cs="Times New Roman"/>
          <w:color w:val="000000"/>
          <w:sz w:val="24"/>
          <w:szCs w:val="24"/>
        </w:rPr>
      </w:pPr>
    </w:p>
    <w:p w14:paraId="23633ED1" w14:textId="6B2FC13D" w:rsidR="006365E1" w:rsidRDefault="00965F2F" w:rsidP="009B53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current paper is aiming to analyse</w:t>
      </w:r>
      <w:r w:rsidR="004155A8">
        <w:rPr>
          <w:rFonts w:ascii="Times New Roman" w:eastAsia="Times New Roman" w:hAnsi="Times New Roman" w:cs="Times New Roman"/>
          <w:color w:val="000000"/>
          <w:sz w:val="24"/>
          <w:szCs w:val="24"/>
        </w:rPr>
        <w:t xml:space="preserve"> the macroprudential policy tools in the Asian context.</w:t>
      </w:r>
      <w:r w:rsidR="006C201D">
        <w:rPr>
          <w:rFonts w:ascii="Times New Roman" w:eastAsia="Times New Roman" w:hAnsi="Times New Roman" w:cs="Times New Roman"/>
          <w:color w:val="000000"/>
          <w:sz w:val="24"/>
          <w:szCs w:val="24"/>
        </w:rPr>
        <w:t xml:space="preserve"> After the Asian financial crises in 1997, regulators and policy makers in the region started to examine the shortcomings of the system and possibly policy tools to prevent another similar crises. </w:t>
      </w:r>
      <w:r w:rsidR="004E2A7C">
        <w:rPr>
          <w:rFonts w:ascii="Times New Roman" w:eastAsia="Times New Roman" w:hAnsi="Times New Roman" w:cs="Times New Roman"/>
          <w:color w:val="000000"/>
          <w:sz w:val="24"/>
          <w:szCs w:val="24"/>
        </w:rPr>
        <w:t>This gave momentum to the idea of the macroprudential regulation and as a result regulators across the region started to implement diverse ma</w:t>
      </w:r>
      <w:r w:rsidR="006365E1">
        <w:rPr>
          <w:rFonts w:ascii="Times New Roman" w:eastAsia="Times New Roman" w:hAnsi="Times New Roman" w:cs="Times New Roman"/>
          <w:color w:val="000000"/>
          <w:sz w:val="24"/>
          <w:szCs w:val="24"/>
        </w:rPr>
        <w:t xml:space="preserve">croprudential policy tools. This paper will provide a historical overview of these policy tools </w:t>
      </w:r>
      <w:r w:rsidR="006913C1">
        <w:rPr>
          <w:rFonts w:ascii="Times New Roman" w:eastAsia="Times New Roman" w:hAnsi="Times New Roman" w:cs="Times New Roman"/>
          <w:color w:val="000000"/>
          <w:sz w:val="24"/>
          <w:szCs w:val="24"/>
        </w:rPr>
        <w:t xml:space="preserve">in order to understand the emergence and current state of macroprudential regulation in Southeast Asia. </w:t>
      </w:r>
      <w:r w:rsidR="00D967C0">
        <w:rPr>
          <w:rFonts w:ascii="Times New Roman" w:eastAsia="Times New Roman" w:hAnsi="Times New Roman" w:cs="Times New Roman"/>
          <w:color w:val="000000"/>
          <w:sz w:val="24"/>
          <w:szCs w:val="24"/>
        </w:rPr>
        <w:t xml:space="preserve">Such an overarching analysis </w:t>
      </w:r>
      <w:r w:rsidR="003B182B">
        <w:rPr>
          <w:rFonts w:ascii="Times New Roman" w:eastAsia="Times New Roman" w:hAnsi="Times New Roman" w:cs="Times New Roman"/>
          <w:color w:val="000000"/>
          <w:sz w:val="24"/>
          <w:szCs w:val="24"/>
        </w:rPr>
        <w:t>will show the steps the regulators in the region have taken to counter the aspects of systemic risk that played an important role in the 2007 – 2009 global financial crises.</w:t>
      </w:r>
    </w:p>
    <w:p w14:paraId="4C012A1C" w14:textId="3AA68C03" w:rsidR="004155A8" w:rsidRDefault="004155A8" w:rsidP="009B5392">
      <w:pPr>
        <w:spacing w:after="0" w:line="240" w:lineRule="auto"/>
        <w:jc w:val="both"/>
        <w:rPr>
          <w:rFonts w:ascii="Times New Roman" w:eastAsia="Times New Roman" w:hAnsi="Times New Roman" w:cs="Times New Roman"/>
          <w:color w:val="000000"/>
          <w:sz w:val="24"/>
          <w:szCs w:val="24"/>
        </w:rPr>
      </w:pPr>
    </w:p>
    <w:p w14:paraId="55858B2F" w14:textId="77777777" w:rsidR="004155A8" w:rsidRDefault="004155A8" w:rsidP="009B5392">
      <w:pPr>
        <w:spacing w:after="0" w:line="240" w:lineRule="auto"/>
        <w:jc w:val="both"/>
        <w:rPr>
          <w:rFonts w:ascii="Times New Roman" w:eastAsia="Times New Roman" w:hAnsi="Times New Roman" w:cs="Times New Roman"/>
          <w:color w:val="000000"/>
          <w:sz w:val="24"/>
          <w:szCs w:val="24"/>
        </w:rPr>
      </w:pPr>
    </w:p>
    <w:p w14:paraId="4E708387" w14:textId="04D81BA8" w:rsidR="009B5392" w:rsidRPr="009B5392" w:rsidRDefault="009B5392" w:rsidP="009B53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Keywords: financial regulation; systemic risk; macroprudential regulation; financial crises</w:t>
      </w:r>
      <w:r w:rsidR="006C7A36">
        <w:rPr>
          <w:rFonts w:ascii="Times New Roman" w:eastAsia="Times New Roman" w:hAnsi="Times New Roman" w:cs="Times New Roman"/>
          <w:color w:val="000000"/>
          <w:sz w:val="24"/>
          <w:szCs w:val="24"/>
        </w:rPr>
        <w:t>; Southeast Asia</w:t>
      </w:r>
    </w:p>
    <w:sectPr w:rsidR="009B5392" w:rsidRPr="009B5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23"/>
    <w:rsid w:val="00003352"/>
    <w:rsid w:val="00013AF5"/>
    <w:rsid w:val="00036186"/>
    <w:rsid w:val="00045CAE"/>
    <w:rsid w:val="00062090"/>
    <w:rsid w:val="000839A4"/>
    <w:rsid w:val="00087DDA"/>
    <w:rsid w:val="000D0C7F"/>
    <w:rsid w:val="000E6853"/>
    <w:rsid w:val="001003F9"/>
    <w:rsid w:val="00120E41"/>
    <w:rsid w:val="0015119C"/>
    <w:rsid w:val="00163423"/>
    <w:rsid w:val="00163496"/>
    <w:rsid w:val="001E4506"/>
    <w:rsid w:val="00235A5F"/>
    <w:rsid w:val="002A04D6"/>
    <w:rsid w:val="003003EF"/>
    <w:rsid w:val="003151F0"/>
    <w:rsid w:val="00364714"/>
    <w:rsid w:val="00366C2F"/>
    <w:rsid w:val="00374834"/>
    <w:rsid w:val="003B182B"/>
    <w:rsid w:val="003B4860"/>
    <w:rsid w:val="003D6405"/>
    <w:rsid w:val="003E7AC4"/>
    <w:rsid w:val="004155A8"/>
    <w:rsid w:val="004350B1"/>
    <w:rsid w:val="004443A0"/>
    <w:rsid w:val="00492DEB"/>
    <w:rsid w:val="004973D1"/>
    <w:rsid w:val="004B423F"/>
    <w:rsid w:val="004B58CD"/>
    <w:rsid w:val="004E2A7C"/>
    <w:rsid w:val="004F0121"/>
    <w:rsid w:val="005047F2"/>
    <w:rsid w:val="00516C7F"/>
    <w:rsid w:val="00530A28"/>
    <w:rsid w:val="0059537A"/>
    <w:rsid w:val="005B08AA"/>
    <w:rsid w:val="00622482"/>
    <w:rsid w:val="006365E1"/>
    <w:rsid w:val="00650ABD"/>
    <w:rsid w:val="006627CF"/>
    <w:rsid w:val="00681F63"/>
    <w:rsid w:val="006913C1"/>
    <w:rsid w:val="006C201D"/>
    <w:rsid w:val="006C7A36"/>
    <w:rsid w:val="00716EFC"/>
    <w:rsid w:val="00806B2E"/>
    <w:rsid w:val="0085144E"/>
    <w:rsid w:val="00886079"/>
    <w:rsid w:val="008C1A4A"/>
    <w:rsid w:val="008C2F14"/>
    <w:rsid w:val="00920676"/>
    <w:rsid w:val="009507AE"/>
    <w:rsid w:val="00965F2F"/>
    <w:rsid w:val="009722CB"/>
    <w:rsid w:val="00974600"/>
    <w:rsid w:val="00985165"/>
    <w:rsid w:val="009B0A23"/>
    <w:rsid w:val="009B5392"/>
    <w:rsid w:val="009C1D0A"/>
    <w:rsid w:val="009D46A3"/>
    <w:rsid w:val="00A1739A"/>
    <w:rsid w:val="00A57309"/>
    <w:rsid w:val="00A6624E"/>
    <w:rsid w:val="00A676BC"/>
    <w:rsid w:val="00A76145"/>
    <w:rsid w:val="00A86A5D"/>
    <w:rsid w:val="00AB2D98"/>
    <w:rsid w:val="00AF717C"/>
    <w:rsid w:val="00B62FC6"/>
    <w:rsid w:val="00B82FE6"/>
    <w:rsid w:val="00B87F24"/>
    <w:rsid w:val="00B94BEA"/>
    <w:rsid w:val="00B96EC6"/>
    <w:rsid w:val="00BB400B"/>
    <w:rsid w:val="00BE5312"/>
    <w:rsid w:val="00C318BB"/>
    <w:rsid w:val="00C46122"/>
    <w:rsid w:val="00C7756F"/>
    <w:rsid w:val="00C81B2A"/>
    <w:rsid w:val="00C960B4"/>
    <w:rsid w:val="00CA6B24"/>
    <w:rsid w:val="00CA6C4B"/>
    <w:rsid w:val="00D101A2"/>
    <w:rsid w:val="00D201A3"/>
    <w:rsid w:val="00D564FA"/>
    <w:rsid w:val="00D967C0"/>
    <w:rsid w:val="00DB2E00"/>
    <w:rsid w:val="00DE2905"/>
    <w:rsid w:val="00E104F1"/>
    <w:rsid w:val="00E20F9C"/>
    <w:rsid w:val="00E53610"/>
    <w:rsid w:val="00E54EB1"/>
    <w:rsid w:val="00E927B4"/>
    <w:rsid w:val="00EA246F"/>
    <w:rsid w:val="00ED2695"/>
    <w:rsid w:val="00F02FED"/>
    <w:rsid w:val="00F11295"/>
    <w:rsid w:val="00F33907"/>
    <w:rsid w:val="00F465A9"/>
    <w:rsid w:val="00F5754B"/>
    <w:rsid w:val="00FA0C14"/>
    <w:rsid w:val="00FB599B"/>
    <w:rsid w:val="00FC2809"/>
    <w:rsid w:val="00FE43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2813"/>
  <w15:docId w15:val="{008ACF35-2EF5-4C51-A653-26B70A55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8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6A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6A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17386">
      <w:bodyDiv w:val="1"/>
      <w:marLeft w:val="0"/>
      <w:marRight w:val="0"/>
      <w:marTop w:val="0"/>
      <w:marBottom w:val="0"/>
      <w:divBdr>
        <w:top w:val="none" w:sz="0" w:space="0" w:color="auto"/>
        <w:left w:val="none" w:sz="0" w:space="0" w:color="auto"/>
        <w:bottom w:val="none" w:sz="0" w:space="0" w:color="auto"/>
        <w:right w:val="none" w:sz="0" w:space="0" w:color="auto"/>
      </w:divBdr>
    </w:div>
    <w:div w:id="1492327997">
      <w:bodyDiv w:val="1"/>
      <w:marLeft w:val="0"/>
      <w:marRight w:val="0"/>
      <w:marTop w:val="0"/>
      <w:marBottom w:val="0"/>
      <w:divBdr>
        <w:top w:val="none" w:sz="0" w:space="0" w:color="auto"/>
        <w:left w:val="none" w:sz="0" w:space="0" w:color="auto"/>
        <w:bottom w:val="none" w:sz="0" w:space="0" w:color="auto"/>
        <w:right w:val="none" w:sz="0" w:space="0" w:color="auto"/>
      </w:divBdr>
    </w:div>
    <w:div w:id="2065257096">
      <w:bodyDiv w:val="1"/>
      <w:marLeft w:val="0"/>
      <w:marRight w:val="0"/>
      <w:marTop w:val="0"/>
      <w:marBottom w:val="0"/>
      <w:divBdr>
        <w:top w:val="none" w:sz="0" w:space="0" w:color="auto"/>
        <w:left w:val="none" w:sz="0" w:space="0" w:color="auto"/>
        <w:bottom w:val="none" w:sz="0" w:space="0" w:color="auto"/>
        <w:right w:val="none" w:sz="0" w:space="0" w:color="auto"/>
      </w:divBdr>
    </w:div>
    <w:div w:id="2120444521">
      <w:bodyDiv w:val="1"/>
      <w:marLeft w:val="0"/>
      <w:marRight w:val="0"/>
      <w:marTop w:val="0"/>
      <w:marBottom w:val="0"/>
      <w:divBdr>
        <w:top w:val="none" w:sz="0" w:space="0" w:color="auto"/>
        <w:left w:val="none" w:sz="0" w:space="0" w:color="auto"/>
        <w:bottom w:val="none" w:sz="0" w:space="0" w:color="auto"/>
        <w:right w:val="none" w:sz="0" w:space="0" w:color="auto"/>
      </w:divBdr>
    </w:div>
    <w:div w:id="21434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Katalin</dc:creator>
  <cp:lastModifiedBy>CEU</cp:lastModifiedBy>
  <cp:revision>2</cp:revision>
  <dcterms:created xsi:type="dcterms:W3CDTF">2018-03-08T08:41:00Z</dcterms:created>
  <dcterms:modified xsi:type="dcterms:W3CDTF">2018-03-08T08:41:00Z</dcterms:modified>
</cp:coreProperties>
</file>