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02" w:rsidRPr="00FF49FC" w:rsidRDefault="00741BC0" w:rsidP="00FF49FC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Pre-C</w:t>
      </w:r>
      <w:r w:rsidR="00FF49FC" w:rsidRPr="00FF49FC">
        <w:rPr>
          <w:b/>
          <w:lang w:val="en-GB"/>
        </w:rPr>
        <w:t xml:space="preserve">ommodification in the Hungarian Housing System Before </w:t>
      </w:r>
      <w:r w:rsidR="0086660B">
        <w:rPr>
          <w:b/>
          <w:lang w:val="en-GB"/>
        </w:rPr>
        <w:t>State-Socialism</w:t>
      </w:r>
      <w:r w:rsidR="00DF70CC">
        <w:rPr>
          <w:b/>
          <w:lang w:val="en-GB"/>
        </w:rPr>
        <w:t>: New Perspectives for Housing Analysis</w:t>
      </w:r>
    </w:p>
    <w:p w:rsidR="00FF49FC" w:rsidRDefault="00FF49FC">
      <w:pPr>
        <w:rPr>
          <w:lang w:val="en-GB"/>
        </w:rPr>
      </w:pPr>
    </w:p>
    <w:p w:rsidR="00C826AD" w:rsidRDefault="00C826AD">
      <w:pPr>
        <w:rPr>
          <w:lang w:val="en-GB"/>
        </w:rPr>
      </w:pPr>
      <w:r w:rsidRPr="0069780D">
        <w:rPr>
          <w:b/>
          <w:lang w:val="en-GB"/>
        </w:rPr>
        <w:t>Keywords</w:t>
      </w:r>
      <w:r>
        <w:rPr>
          <w:lang w:val="en-GB"/>
        </w:rPr>
        <w:t xml:space="preserve">: housing system, rural housing, pre-commodification, </w:t>
      </w:r>
      <w:r w:rsidR="00CC1BD6">
        <w:rPr>
          <w:lang w:val="en-GB"/>
        </w:rPr>
        <w:t>Central and Eastern Europe, East European Housing Model</w:t>
      </w:r>
    </w:p>
    <w:p w:rsidR="00C826AD" w:rsidRDefault="00C826AD">
      <w:pPr>
        <w:rPr>
          <w:lang w:val="en-GB"/>
        </w:rPr>
      </w:pPr>
    </w:p>
    <w:p w:rsidR="00391993" w:rsidRDefault="005029EF" w:rsidP="00082513">
      <w:pPr>
        <w:jc w:val="both"/>
        <w:rPr>
          <w:lang w:val="en-GB"/>
        </w:rPr>
      </w:pPr>
      <w:r>
        <w:rPr>
          <w:lang w:val="en-GB"/>
        </w:rPr>
        <w:t xml:space="preserve">There </w:t>
      </w:r>
      <w:r w:rsidR="00C00766" w:rsidRPr="00DB3F19">
        <w:rPr>
          <w:lang w:val="en-GB"/>
        </w:rPr>
        <w:t xml:space="preserve">is significant </w:t>
      </w:r>
      <w:r w:rsidR="000540F2">
        <w:rPr>
          <w:lang w:val="en-GB"/>
        </w:rPr>
        <w:t>uncertainty</w:t>
      </w:r>
      <w:r w:rsidR="00C00766" w:rsidRPr="00DB3F19">
        <w:rPr>
          <w:lang w:val="en-GB"/>
        </w:rPr>
        <w:t xml:space="preserve"> regarding </w:t>
      </w:r>
      <w:r w:rsidR="00FF49FC">
        <w:rPr>
          <w:lang w:val="en-GB"/>
        </w:rPr>
        <w:t xml:space="preserve">the </w:t>
      </w:r>
      <w:r w:rsidR="00C00766" w:rsidRPr="00DB3F19">
        <w:rPr>
          <w:lang w:val="en-GB"/>
        </w:rPr>
        <w:t xml:space="preserve">conceptualisation of Central and Eastern European </w:t>
      </w:r>
      <w:r w:rsidR="00394A99">
        <w:rPr>
          <w:lang w:val="en-GB"/>
        </w:rPr>
        <w:t xml:space="preserve">(CEE) </w:t>
      </w:r>
      <w:r w:rsidR="00C00766" w:rsidRPr="00DB3F19">
        <w:rPr>
          <w:lang w:val="en-GB"/>
        </w:rPr>
        <w:t>housing</w:t>
      </w:r>
      <w:r>
        <w:rPr>
          <w:lang w:val="en-GB"/>
        </w:rPr>
        <w:t xml:space="preserve"> in contemporary housing theory</w:t>
      </w:r>
      <w:r w:rsidR="00C00766" w:rsidRPr="00DB3F19">
        <w:rPr>
          <w:lang w:val="en-GB"/>
        </w:rPr>
        <w:t xml:space="preserve">. </w:t>
      </w:r>
      <w:r w:rsidR="00394A99">
        <w:rPr>
          <w:lang w:val="en-GB"/>
        </w:rPr>
        <w:t>Variegated</w:t>
      </w:r>
      <w:r w:rsidR="00610987" w:rsidRPr="00DB3F19">
        <w:rPr>
          <w:lang w:val="en-GB"/>
        </w:rPr>
        <w:t xml:space="preserve"> </w:t>
      </w:r>
      <w:r w:rsidR="00FF49FC">
        <w:rPr>
          <w:lang w:val="en-GB"/>
        </w:rPr>
        <w:t xml:space="preserve">theoretical </w:t>
      </w:r>
      <w:r w:rsidR="00394A99">
        <w:rPr>
          <w:lang w:val="en-GB"/>
        </w:rPr>
        <w:t>literature</w:t>
      </w:r>
      <w:r w:rsidR="0069780D">
        <w:rPr>
          <w:lang w:val="en-GB"/>
        </w:rPr>
        <w:t xml:space="preserve"> on the region</w:t>
      </w:r>
      <w:r w:rsidR="00344C22">
        <w:rPr>
          <w:rStyle w:val="FootnoteReference"/>
          <w:lang w:val="en-GB"/>
        </w:rPr>
        <w:footnoteReference w:id="1"/>
      </w:r>
      <w:r w:rsidR="00394A99">
        <w:rPr>
          <w:lang w:val="en-GB"/>
        </w:rPr>
        <w:t xml:space="preserve"> seem</w:t>
      </w:r>
      <w:r w:rsidR="0069780D">
        <w:rPr>
          <w:lang w:val="en-GB"/>
        </w:rPr>
        <w:t>s</w:t>
      </w:r>
      <w:r w:rsidR="00394A99">
        <w:rPr>
          <w:lang w:val="en-GB"/>
        </w:rPr>
        <w:t xml:space="preserve"> to agree in one point: </w:t>
      </w:r>
      <w:r w:rsidR="00302977">
        <w:rPr>
          <w:lang w:val="en-GB"/>
        </w:rPr>
        <w:t xml:space="preserve">the unquestionable start of the region’s housing system formation </w:t>
      </w:r>
      <w:r w:rsidR="000100A1">
        <w:rPr>
          <w:lang w:val="en-GB"/>
        </w:rPr>
        <w:t xml:space="preserve">is </w:t>
      </w:r>
      <w:r w:rsidR="0082042D">
        <w:rPr>
          <w:lang w:val="en-GB"/>
        </w:rPr>
        <w:t xml:space="preserve">the establishment of the </w:t>
      </w:r>
      <w:r w:rsidR="004507FA">
        <w:rPr>
          <w:lang w:val="en-GB"/>
        </w:rPr>
        <w:t>state-socialis</w:t>
      </w:r>
      <w:r w:rsidR="0082042D">
        <w:rPr>
          <w:lang w:val="en-GB"/>
        </w:rPr>
        <w:t>t system</w:t>
      </w:r>
      <w:r w:rsidR="006A39A1">
        <w:rPr>
          <w:lang w:val="en-GB"/>
        </w:rPr>
        <w:t xml:space="preserve"> as put forward by </w:t>
      </w:r>
      <w:proofErr w:type="spellStart"/>
      <w:r w:rsidR="00610987" w:rsidRPr="00DB3F19">
        <w:rPr>
          <w:lang w:val="en-GB"/>
        </w:rPr>
        <w:t>Hegedüs</w:t>
      </w:r>
      <w:proofErr w:type="spellEnd"/>
      <w:r w:rsidR="00610987" w:rsidRPr="00DB3F19">
        <w:rPr>
          <w:lang w:val="en-GB"/>
        </w:rPr>
        <w:t xml:space="preserve"> and </w:t>
      </w:r>
      <w:proofErr w:type="spellStart"/>
      <w:r w:rsidR="00610987" w:rsidRPr="00DB3F19">
        <w:rPr>
          <w:lang w:val="en-GB"/>
        </w:rPr>
        <w:t>Tosics</w:t>
      </w:r>
      <w:proofErr w:type="spellEnd"/>
      <w:r w:rsidR="006A39A1">
        <w:rPr>
          <w:lang w:val="en-GB"/>
        </w:rPr>
        <w:t xml:space="preserve"> in their oft-quoted</w:t>
      </w:r>
      <w:r w:rsidR="00610987" w:rsidRPr="00DB3F19">
        <w:rPr>
          <w:lang w:val="en-GB"/>
        </w:rPr>
        <w:t xml:space="preserve"> ’East European Housing Model’</w:t>
      </w:r>
      <w:r w:rsidR="006A39A1">
        <w:rPr>
          <w:lang w:val="en-GB"/>
        </w:rPr>
        <w:t xml:space="preserve"> concept</w:t>
      </w:r>
      <w:r w:rsidR="00B9631C">
        <w:rPr>
          <w:rStyle w:val="FootnoteReference"/>
          <w:lang w:val="en-GB"/>
        </w:rPr>
        <w:footnoteReference w:id="2"/>
      </w:r>
      <w:r w:rsidR="00B9631C">
        <w:rPr>
          <w:lang w:val="en-GB"/>
        </w:rPr>
        <w:t>.</w:t>
      </w:r>
      <w:r w:rsidR="00391993">
        <w:rPr>
          <w:lang w:val="en-GB"/>
        </w:rPr>
        <w:t xml:space="preserve"> </w:t>
      </w:r>
    </w:p>
    <w:p w:rsidR="00A9329A" w:rsidRDefault="006A39A1" w:rsidP="00082513">
      <w:pPr>
        <w:jc w:val="both"/>
        <w:rPr>
          <w:lang w:val="en-GB"/>
        </w:rPr>
      </w:pPr>
      <w:r>
        <w:rPr>
          <w:lang w:val="en-GB"/>
        </w:rPr>
        <w:t>Following</w:t>
      </w:r>
      <w:r w:rsidR="000813CB">
        <w:rPr>
          <w:lang w:val="en-GB"/>
        </w:rPr>
        <w:t xml:space="preserve"> authors in</w:t>
      </w:r>
      <w:r w:rsidR="00394A99">
        <w:rPr>
          <w:lang w:val="en-GB"/>
        </w:rPr>
        <w:t xml:space="preserve"> </w:t>
      </w:r>
      <w:r w:rsidR="00960A0C">
        <w:rPr>
          <w:lang w:val="en-GB"/>
        </w:rPr>
        <w:t>(</w:t>
      </w:r>
      <w:r w:rsidR="00394A99">
        <w:rPr>
          <w:lang w:val="en-GB"/>
        </w:rPr>
        <w:t>Western</w:t>
      </w:r>
      <w:r w:rsidR="00960A0C">
        <w:rPr>
          <w:lang w:val="en-GB"/>
        </w:rPr>
        <w:t>) comparative</w:t>
      </w:r>
      <w:r w:rsidR="00394A99">
        <w:rPr>
          <w:lang w:val="en-GB"/>
        </w:rPr>
        <w:t xml:space="preserve"> housing theory</w:t>
      </w:r>
      <w:r>
        <w:rPr>
          <w:rStyle w:val="FootnoteReference"/>
          <w:lang w:val="en-GB"/>
        </w:rPr>
        <w:footnoteReference w:id="3"/>
      </w:r>
      <w:r w:rsidR="000813CB">
        <w:rPr>
          <w:lang w:val="en-GB"/>
        </w:rPr>
        <w:t>, c</w:t>
      </w:r>
      <w:r w:rsidR="000813CB" w:rsidRPr="00DB3F19">
        <w:rPr>
          <w:lang w:val="en-GB"/>
        </w:rPr>
        <w:t xml:space="preserve">urrent paper argues that </w:t>
      </w:r>
      <w:r w:rsidR="000813CB">
        <w:rPr>
          <w:lang w:val="en-GB"/>
        </w:rPr>
        <w:t xml:space="preserve">pre-WWII developments of housing systems worldwide </w:t>
      </w:r>
      <w:r>
        <w:rPr>
          <w:lang w:val="en-GB"/>
        </w:rPr>
        <w:t>had a significant impact on</w:t>
      </w:r>
      <w:r w:rsidR="000813CB">
        <w:rPr>
          <w:lang w:val="en-GB"/>
        </w:rPr>
        <w:t xml:space="preserve"> their later development</w:t>
      </w:r>
      <w:r w:rsidR="00A9329A">
        <w:rPr>
          <w:lang w:val="en-GB"/>
        </w:rPr>
        <w:t>,</w:t>
      </w:r>
      <w:r w:rsidR="000813CB">
        <w:rPr>
          <w:lang w:val="en-GB"/>
        </w:rPr>
        <w:t xml:space="preserve"> and </w:t>
      </w:r>
      <w:r w:rsidR="008F4A9F">
        <w:rPr>
          <w:lang w:val="en-GB"/>
        </w:rPr>
        <w:t>four decades of</w:t>
      </w:r>
      <w:r w:rsidR="00F36FDB">
        <w:rPr>
          <w:lang w:val="en-GB"/>
        </w:rPr>
        <w:t xml:space="preserve"> </w:t>
      </w:r>
      <w:r w:rsidR="008F4A9F">
        <w:rPr>
          <w:lang w:val="en-GB"/>
        </w:rPr>
        <w:t xml:space="preserve">post-war </w:t>
      </w:r>
      <w:r w:rsidR="00F36FDB">
        <w:rPr>
          <w:lang w:val="en-GB"/>
        </w:rPr>
        <w:t xml:space="preserve">state-socialist </w:t>
      </w:r>
      <w:r w:rsidR="008F4A9F">
        <w:rPr>
          <w:lang w:val="en-GB"/>
        </w:rPr>
        <w:t xml:space="preserve">development </w:t>
      </w:r>
      <w:r w:rsidR="008A0CFF">
        <w:rPr>
          <w:lang w:val="en-GB"/>
        </w:rPr>
        <w:t>does not make CEE an exception</w:t>
      </w:r>
      <w:r w:rsidR="00871EE3">
        <w:rPr>
          <w:lang w:val="en-GB"/>
        </w:rPr>
        <w:t xml:space="preserve">. Integrating pre-state-socialist developments in housing </w:t>
      </w:r>
      <w:r w:rsidR="005E4949">
        <w:rPr>
          <w:lang w:val="en-GB"/>
        </w:rPr>
        <w:t>analysis can help us more precisely define the region’s contemporary housing system</w:t>
      </w:r>
      <w:r w:rsidR="003D3B02">
        <w:rPr>
          <w:lang w:val="en-GB"/>
        </w:rPr>
        <w:t>(s)</w:t>
      </w:r>
      <w:r w:rsidR="005E4949">
        <w:rPr>
          <w:lang w:val="en-GB"/>
        </w:rPr>
        <w:t xml:space="preserve"> and understand its</w:t>
      </w:r>
      <w:r w:rsidR="003D3B02">
        <w:rPr>
          <w:lang w:val="en-GB"/>
        </w:rPr>
        <w:t xml:space="preserve"> (their)</w:t>
      </w:r>
      <w:r w:rsidR="005E4949">
        <w:rPr>
          <w:lang w:val="en-GB"/>
        </w:rPr>
        <w:t xml:space="preserve"> change amidst</w:t>
      </w:r>
      <w:r w:rsidR="004507FA">
        <w:rPr>
          <w:lang w:val="en-GB"/>
        </w:rPr>
        <w:t xml:space="preserve"> </w:t>
      </w:r>
      <w:r w:rsidR="00344C22">
        <w:rPr>
          <w:lang w:val="en-GB"/>
        </w:rPr>
        <w:t>the</w:t>
      </w:r>
      <w:r w:rsidR="005E4949">
        <w:rPr>
          <w:lang w:val="en-GB"/>
        </w:rPr>
        <w:t xml:space="preserve"> increasing </w:t>
      </w:r>
      <w:r w:rsidR="005E4949" w:rsidRPr="006A39A1">
        <w:rPr>
          <w:lang w:val="en-GB"/>
        </w:rPr>
        <w:t>pressu</w:t>
      </w:r>
      <w:r w:rsidR="004507FA" w:rsidRPr="006A39A1">
        <w:rPr>
          <w:lang w:val="en-GB"/>
        </w:rPr>
        <w:t>re of global forces</w:t>
      </w:r>
      <w:r w:rsidR="005E4949">
        <w:rPr>
          <w:lang w:val="en-GB"/>
        </w:rPr>
        <w:t xml:space="preserve">. </w:t>
      </w:r>
    </w:p>
    <w:p w:rsidR="00CA4D9F" w:rsidRDefault="00DF4EBF" w:rsidP="00082513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675E47">
        <w:rPr>
          <w:lang w:val="en-GB"/>
        </w:rPr>
        <w:t>paper, drawing evidence fr</w:t>
      </w:r>
      <w:r w:rsidR="00496F56">
        <w:rPr>
          <w:lang w:val="en-GB"/>
        </w:rPr>
        <w:t>om the Hungarian housing system</w:t>
      </w:r>
      <w:r w:rsidR="00675E47">
        <w:rPr>
          <w:lang w:val="en-GB"/>
        </w:rPr>
        <w:t>’</w:t>
      </w:r>
      <w:r w:rsidR="00496F56">
        <w:rPr>
          <w:lang w:val="en-GB"/>
        </w:rPr>
        <w:t>s</w:t>
      </w:r>
      <w:r w:rsidR="00C95CBD">
        <w:rPr>
          <w:lang w:val="en-GB"/>
        </w:rPr>
        <w:t xml:space="preserve"> pre-Second World War </w:t>
      </w:r>
      <w:r w:rsidR="00C95CBD" w:rsidRPr="0069780D">
        <w:rPr>
          <w:lang w:val="en-GB"/>
        </w:rPr>
        <w:t>development,</w:t>
      </w:r>
      <w:r w:rsidRPr="0069780D">
        <w:rPr>
          <w:lang w:val="en-GB"/>
        </w:rPr>
        <w:t xml:space="preserve"> </w:t>
      </w:r>
      <w:r w:rsidR="00675E47" w:rsidRPr="0069780D">
        <w:rPr>
          <w:lang w:val="en-GB"/>
        </w:rPr>
        <w:t xml:space="preserve">is </w:t>
      </w:r>
      <w:r w:rsidR="00C95CBD" w:rsidRPr="0069780D">
        <w:rPr>
          <w:lang w:val="en-GB"/>
        </w:rPr>
        <w:t xml:space="preserve">based on the </w:t>
      </w:r>
      <w:r w:rsidRPr="0069780D">
        <w:rPr>
          <w:lang w:val="en-GB"/>
        </w:rPr>
        <w:t>premise</w:t>
      </w:r>
      <w:r w:rsidR="00C95CBD" w:rsidRPr="0069780D">
        <w:rPr>
          <w:lang w:val="en-GB"/>
        </w:rPr>
        <w:t xml:space="preserve"> that</w:t>
      </w:r>
      <w:r w:rsidRPr="0069780D">
        <w:rPr>
          <w:lang w:val="en-GB"/>
        </w:rPr>
        <w:t xml:space="preserve"> capitalist</w:t>
      </w:r>
      <w:r>
        <w:rPr>
          <w:lang w:val="en-GB"/>
        </w:rPr>
        <w:t xml:space="preserve"> transformation</w:t>
      </w:r>
      <w:r w:rsidR="00C95CBD" w:rsidRPr="00C95CBD">
        <w:rPr>
          <w:lang w:val="en-GB"/>
        </w:rPr>
        <w:t xml:space="preserve"> </w:t>
      </w:r>
      <w:r w:rsidR="004507FA">
        <w:rPr>
          <w:lang w:val="en-GB"/>
        </w:rPr>
        <w:t>of</w:t>
      </w:r>
      <w:r w:rsidR="000540F2">
        <w:rPr>
          <w:lang w:val="en-GB"/>
        </w:rPr>
        <w:t xml:space="preserve"> semi-peripheral</w:t>
      </w:r>
      <w:r w:rsidR="00C95CBD">
        <w:rPr>
          <w:lang w:val="en-GB"/>
        </w:rPr>
        <w:t xml:space="preserve"> Hungary </w:t>
      </w:r>
      <w:r w:rsidR="006A39A1">
        <w:rPr>
          <w:lang w:val="en-GB"/>
        </w:rPr>
        <w:t>took place</w:t>
      </w:r>
      <w:r w:rsidR="004507FA">
        <w:rPr>
          <w:lang w:val="en-GB"/>
        </w:rPr>
        <w:t xml:space="preserve"> with a </w:t>
      </w:r>
      <w:r w:rsidR="00C95CBD">
        <w:rPr>
          <w:lang w:val="en-GB"/>
        </w:rPr>
        <w:t>delay</w:t>
      </w:r>
      <w:r w:rsidR="00496F56">
        <w:rPr>
          <w:lang w:val="en-GB"/>
        </w:rPr>
        <w:t xml:space="preserve"> and</w:t>
      </w:r>
      <w:r w:rsidR="000100A1">
        <w:rPr>
          <w:lang w:val="en-GB"/>
        </w:rPr>
        <w:t xml:space="preserve"> </w:t>
      </w:r>
      <w:r w:rsidR="00C95CBD">
        <w:rPr>
          <w:lang w:val="en-GB"/>
        </w:rPr>
        <w:t>first</w:t>
      </w:r>
      <w:r w:rsidR="008F4A9F">
        <w:rPr>
          <w:lang w:val="en-GB"/>
        </w:rPr>
        <w:t xml:space="preserve"> national</w:t>
      </w:r>
      <w:r w:rsidR="00C95CBD">
        <w:rPr>
          <w:lang w:val="en-GB"/>
        </w:rPr>
        <w:t xml:space="preserve"> housing polici</w:t>
      </w:r>
      <w:r w:rsidR="00637903">
        <w:rPr>
          <w:lang w:val="en-GB"/>
        </w:rPr>
        <w:t>es</w:t>
      </w:r>
      <w:r w:rsidR="00496F56">
        <w:rPr>
          <w:lang w:val="en-GB"/>
        </w:rPr>
        <w:t xml:space="preserve"> </w:t>
      </w:r>
      <w:r w:rsidR="00637903">
        <w:rPr>
          <w:lang w:val="en-GB"/>
        </w:rPr>
        <w:t xml:space="preserve">were </w:t>
      </w:r>
      <w:r w:rsidR="00745D9A">
        <w:rPr>
          <w:lang w:val="en-GB"/>
        </w:rPr>
        <w:t>introduced</w:t>
      </w:r>
      <w:r w:rsidR="00496F56">
        <w:rPr>
          <w:lang w:val="en-GB"/>
        </w:rPr>
        <w:t xml:space="preserve"> in a semi-feudal context. </w:t>
      </w:r>
      <w:r w:rsidR="000100A1">
        <w:rPr>
          <w:lang w:val="en-GB"/>
        </w:rPr>
        <w:t xml:space="preserve">In contrast with Western Europe where </w:t>
      </w:r>
      <w:proofErr w:type="spellStart"/>
      <w:r w:rsidR="000100A1">
        <w:rPr>
          <w:lang w:val="en-GB"/>
        </w:rPr>
        <w:t>decommodification</w:t>
      </w:r>
      <w:proofErr w:type="spellEnd"/>
      <w:r w:rsidR="000100A1">
        <w:rPr>
          <w:lang w:val="en-GB"/>
        </w:rPr>
        <w:t xml:space="preserve"> of</w:t>
      </w:r>
      <w:r w:rsidR="006A39A1">
        <w:rPr>
          <w:lang w:val="en-GB"/>
        </w:rPr>
        <w:t xml:space="preserve"> urban</w:t>
      </w:r>
      <w:r w:rsidR="000100A1">
        <w:rPr>
          <w:lang w:val="en-GB"/>
        </w:rPr>
        <w:t xml:space="preserve"> housing was central to the</w:t>
      </w:r>
      <w:r w:rsidR="00CA4D9F">
        <w:rPr>
          <w:lang w:val="en-GB"/>
        </w:rPr>
        <w:t xml:space="preserve"> development of the</w:t>
      </w:r>
      <w:r w:rsidR="000100A1">
        <w:rPr>
          <w:lang w:val="en-GB"/>
        </w:rPr>
        <w:t xml:space="preserve"> housing system,</w:t>
      </w:r>
      <w:r w:rsidR="00CA4D9F">
        <w:rPr>
          <w:lang w:val="en-GB"/>
        </w:rPr>
        <w:t xml:space="preserve"> in Hungary, housing policy served to delay industrialisation and urbanisation and preserve the rural and agricultural character of the country by</w:t>
      </w:r>
      <w:r w:rsidR="003D3B02">
        <w:rPr>
          <w:lang w:val="en-GB"/>
        </w:rPr>
        <w:t xml:space="preserve"> strengthening pre-commodification of housing and labour: </w:t>
      </w:r>
      <w:r w:rsidR="00CA4D9F">
        <w:rPr>
          <w:lang w:val="en-GB"/>
        </w:rPr>
        <w:t>supporting landless agricultural workers in</w:t>
      </w:r>
      <w:r w:rsidR="003D3B02">
        <w:rPr>
          <w:lang w:val="en-GB"/>
        </w:rPr>
        <w:t xml:space="preserve"> acquiring</w:t>
      </w:r>
      <w:r w:rsidR="00CA4D9F">
        <w:rPr>
          <w:lang w:val="en-GB"/>
        </w:rPr>
        <w:t xml:space="preserve"> owner-occupied housing</w:t>
      </w:r>
      <w:r w:rsidR="003D3B02">
        <w:rPr>
          <w:lang w:val="en-GB"/>
        </w:rPr>
        <w:t xml:space="preserve"> with allotment garden</w:t>
      </w:r>
      <w:r w:rsidR="00F36FDB">
        <w:rPr>
          <w:lang w:val="en-GB"/>
        </w:rPr>
        <w:t>s</w:t>
      </w:r>
      <w:r w:rsidR="003D3B02">
        <w:rPr>
          <w:lang w:val="en-GB"/>
        </w:rPr>
        <w:t xml:space="preserve"> in rural areas</w:t>
      </w:r>
      <w:r w:rsidR="00CA4D9F">
        <w:rPr>
          <w:lang w:val="en-GB"/>
        </w:rPr>
        <w:t xml:space="preserve">. </w:t>
      </w:r>
    </w:p>
    <w:p w:rsidR="00121FA4" w:rsidRDefault="000540F2" w:rsidP="00082513">
      <w:pPr>
        <w:jc w:val="both"/>
        <w:rPr>
          <w:lang w:val="en-GB"/>
        </w:rPr>
      </w:pPr>
      <w:r>
        <w:rPr>
          <w:lang w:val="en-GB"/>
        </w:rPr>
        <w:t>The housing system emerging in pre-Second World War Hungary is</w:t>
      </w:r>
      <w:r w:rsidR="00675E47">
        <w:rPr>
          <w:lang w:val="en-GB"/>
        </w:rPr>
        <w:t xml:space="preserve"> essentially different from Western European (both corporatist and liberal) housing systems in that </w:t>
      </w:r>
      <w:r>
        <w:rPr>
          <w:lang w:val="en-GB"/>
        </w:rPr>
        <w:t>it is</w:t>
      </w:r>
      <w:r w:rsidR="00675E47">
        <w:rPr>
          <w:lang w:val="en-GB"/>
        </w:rPr>
        <w:t xml:space="preserve"> based on traditional</w:t>
      </w:r>
      <w:r w:rsidR="00A117F7">
        <w:rPr>
          <w:lang w:val="en-GB"/>
        </w:rPr>
        <w:t xml:space="preserve"> conservative ideology</w:t>
      </w:r>
      <w:r w:rsidR="00675E47">
        <w:rPr>
          <w:lang w:val="en-GB"/>
        </w:rPr>
        <w:t xml:space="preserve"> aiming to </w:t>
      </w:r>
      <w:r w:rsidR="00745D9A">
        <w:rPr>
          <w:lang w:val="en-GB"/>
        </w:rPr>
        <w:t>delay</w:t>
      </w:r>
      <w:r w:rsidR="00675E47">
        <w:rPr>
          <w:lang w:val="en-GB"/>
        </w:rPr>
        <w:t xml:space="preserve"> capitalist transformation rather than</w:t>
      </w:r>
      <w:r w:rsidR="003D3B02">
        <w:rPr>
          <w:lang w:val="en-GB"/>
        </w:rPr>
        <w:t>, as pursued in corporatist countries,</w:t>
      </w:r>
      <w:r w:rsidR="00675E47">
        <w:rPr>
          <w:lang w:val="en-GB"/>
        </w:rPr>
        <w:t xml:space="preserve"> </w:t>
      </w:r>
      <w:r w:rsidR="00A76299">
        <w:rPr>
          <w:lang w:val="en-GB"/>
        </w:rPr>
        <w:lastRenderedPageBreak/>
        <w:t xml:space="preserve">facilitate it </w:t>
      </w:r>
      <w:r w:rsidR="00745D9A">
        <w:rPr>
          <w:lang w:val="en-GB"/>
        </w:rPr>
        <w:t>in line with pre-capitalist traditions</w:t>
      </w:r>
      <w:r w:rsidR="00675E47">
        <w:rPr>
          <w:lang w:val="en-GB"/>
        </w:rPr>
        <w:t>. In Hungary, h</w:t>
      </w:r>
      <w:r w:rsidR="00637903">
        <w:rPr>
          <w:lang w:val="en-GB"/>
        </w:rPr>
        <w:t xml:space="preserve">ousing policies aiming for the </w:t>
      </w:r>
      <w:proofErr w:type="spellStart"/>
      <w:r w:rsidR="00637903">
        <w:rPr>
          <w:lang w:val="en-GB"/>
        </w:rPr>
        <w:t>decommodification</w:t>
      </w:r>
      <w:proofErr w:type="spellEnd"/>
      <w:r w:rsidR="00637903">
        <w:rPr>
          <w:lang w:val="en-GB"/>
        </w:rPr>
        <w:t xml:space="preserve"> of</w:t>
      </w:r>
      <w:r w:rsidR="00637903" w:rsidRPr="00637903">
        <w:rPr>
          <w:lang w:val="en-GB"/>
        </w:rPr>
        <w:t xml:space="preserve"> </w:t>
      </w:r>
      <w:r w:rsidR="00637903">
        <w:rPr>
          <w:lang w:val="en-GB"/>
        </w:rPr>
        <w:t xml:space="preserve">urban housing, characteristic of early Western European housing systems, were less supported by the </w:t>
      </w:r>
      <w:r w:rsidR="004507FA">
        <w:rPr>
          <w:lang w:val="en-GB"/>
        </w:rPr>
        <w:t>central government,</w:t>
      </w:r>
      <w:r w:rsidR="00637903">
        <w:rPr>
          <w:lang w:val="en-GB"/>
        </w:rPr>
        <w:t xml:space="preserve"> were</w:t>
      </w:r>
      <w:r w:rsidR="00CA4D9F">
        <w:rPr>
          <w:lang w:val="en-GB"/>
        </w:rPr>
        <w:t xml:space="preserve"> smaller in scope and</w:t>
      </w:r>
      <w:r w:rsidR="00637903">
        <w:rPr>
          <w:lang w:val="en-GB"/>
        </w:rPr>
        <w:t xml:space="preserve"> </w:t>
      </w:r>
      <w:r w:rsidR="004507FA">
        <w:rPr>
          <w:lang w:val="en-GB"/>
        </w:rPr>
        <w:t>were largely financed by municipalities.</w:t>
      </w:r>
      <w:r w:rsidR="00637903">
        <w:rPr>
          <w:lang w:val="en-GB"/>
        </w:rPr>
        <w:t xml:space="preserve"> Nevertheless, state support for rural housing construction not only remained significant throughout the era, but </w:t>
      </w:r>
      <w:r w:rsidR="003D3B02">
        <w:rPr>
          <w:lang w:val="en-GB"/>
        </w:rPr>
        <w:t>continued</w:t>
      </w:r>
      <w:r w:rsidR="00A76299">
        <w:rPr>
          <w:lang w:val="en-GB"/>
        </w:rPr>
        <w:t xml:space="preserve"> to impact </w:t>
      </w:r>
      <w:r w:rsidR="00DB1FEC">
        <w:rPr>
          <w:lang w:val="en-GB"/>
        </w:rPr>
        <w:t xml:space="preserve">housing </w:t>
      </w:r>
      <w:r w:rsidR="00A76299">
        <w:rPr>
          <w:lang w:val="en-GB"/>
        </w:rPr>
        <w:t>policies</w:t>
      </w:r>
      <w:r w:rsidR="00CA4D9F">
        <w:rPr>
          <w:lang w:val="en-GB"/>
        </w:rPr>
        <w:t xml:space="preserve"> during state-socialism and even</w:t>
      </w:r>
      <w:r w:rsidR="00A76299">
        <w:rPr>
          <w:lang w:val="en-GB"/>
        </w:rPr>
        <w:t xml:space="preserve"> today</w:t>
      </w:r>
      <w:r w:rsidR="00121FA4">
        <w:rPr>
          <w:lang w:val="en-GB"/>
        </w:rPr>
        <w:t>.</w:t>
      </w:r>
      <w:r w:rsidR="00A22ADA">
        <w:rPr>
          <w:lang w:val="en-GB"/>
        </w:rPr>
        <w:t xml:space="preserve"> </w:t>
      </w:r>
    </w:p>
    <w:sectPr w:rsidR="0012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1A" w:rsidRDefault="00375A1A" w:rsidP="00ED7226">
      <w:pPr>
        <w:spacing w:after="0" w:line="240" w:lineRule="auto"/>
      </w:pPr>
      <w:r>
        <w:separator/>
      </w:r>
    </w:p>
  </w:endnote>
  <w:endnote w:type="continuationSeparator" w:id="0">
    <w:p w:rsidR="00375A1A" w:rsidRDefault="00375A1A" w:rsidP="00E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1A" w:rsidRDefault="00375A1A" w:rsidP="00ED7226">
      <w:pPr>
        <w:spacing w:after="0" w:line="240" w:lineRule="auto"/>
      </w:pPr>
      <w:r>
        <w:separator/>
      </w:r>
    </w:p>
  </w:footnote>
  <w:footnote w:type="continuationSeparator" w:id="0">
    <w:p w:rsidR="00375A1A" w:rsidRDefault="00375A1A" w:rsidP="00ED7226">
      <w:pPr>
        <w:spacing w:after="0" w:line="240" w:lineRule="auto"/>
      </w:pPr>
      <w:r>
        <w:continuationSeparator/>
      </w:r>
    </w:p>
  </w:footnote>
  <w:footnote w:id="1">
    <w:p w:rsidR="00344C22" w:rsidRDefault="00344C22">
      <w:pPr>
        <w:pStyle w:val="FootnoteText"/>
      </w:pPr>
      <w:r>
        <w:rPr>
          <w:rStyle w:val="FootnoteReference"/>
        </w:rPr>
        <w:footnoteRef/>
      </w:r>
      <w:r>
        <w:t xml:space="preserve"> E.g. </w:t>
      </w:r>
      <w:r w:rsidRPr="00C54F30">
        <w:rPr>
          <w:noProof/>
          <w:lang w:val="en-GB"/>
        </w:rPr>
        <w:t xml:space="preserve">Tsenkova, S. 2003. Housing Policy Matters: The Reform Path in Central and Eastern Europe. In: S. Lowe and S. Tsenkova (eds) </w:t>
      </w:r>
      <w:r w:rsidRPr="00C54F30">
        <w:rPr>
          <w:i/>
          <w:noProof/>
          <w:lang w:val="en-GB"/>
        </w:rPr>
        <w:t>Housing Change in East and Central Europe. Integration or Fragmentation?</w:t>
      </w:r>
      <w:r w:rsidRPr="00C54F30">
        <w:rPr>
          <w:noProof/>
          <w:lang w:val="en-GB"/>
        </w:rPr>
        <w:t xml:space="preserve"> Hants: Ashgate.</w:t>
      </w:r>
      <w:r>
        <w:rPr>
          <w:noProof/>
          <w:lang w:val="en-GB"/>
        </w:rPr>
        <w:br/>
      </w:r>
      <w:r w:rsidRPr="00ED7226">
        <w:t xml:space="preserve">Pichler-Milanovich, N. 2001. Urban housing markets in Central And Eastern Europe: convergence, divergence or policy'collapse'. </w:t>
      </w:r>
      <w:r w:rsidRPr="00ED7226">
        <w:rPr>
          <w:i/>
        </w:rPr>
        <w:t>European Journal of Housing Policy</w:t>
      </w:r>
      <w:r w:rsidRPr="00ED7226">
        <w:t>. 1(2), p.145-187.</w:t>
      </w:r>
    </w:p>
    <w:p w:rsidR="00344C22" w:rsidRDefault="00344C22">
      <w:pPr>
        <w:pStyle w:val="FootnoteText"/>
      </w:pPr>
      <w:r w:rsidRPr="00ED7226">
        <w:t xml:space="preserve">Pichler-Milanovich, N. 2001. Urban housing markets in Central And Eastern Europe: convergence, divergence or policy'collapse'. </w:t>
      </w:r>
      <w:r w:rsidRPr="00ED7226">
        <w:rPr>
          <w:i/>
        </w:rPr>
        <w:t>European Journal of Housing Policy</w:t>
      </w:r>
      <w:r w:rsidRPr="00ED7226">
        <w:t>. 1(2), p.145-187.</w:t>
      </w:r>
    </w:p>
    <w:p w:rsidR="00344C22" w:rsidRDefault="00344C22" w:rsidP="00344C22">
      <w:pPr>
        <w:pStyle w:val="FootnoteText"/>
      </w:pPr>
      <w:r>
        <w:t>Stephens, M., Lux, M., Sunega, P. 2015. Post-Socialist Housing Systems in Europe: Housing Welfare Regimes by</w:t>
      </w:r>
    </w:p>
    <w:p w:rsidR="00344C22" w:rsidRPr="00344C22" w:rsidRDefault="00344C22" w:rsidP="00344C22">
      <w:pPr>
        <w:pStyle w:val="FootnoteText"/>
      </w:pPr>
      <w:r>
        <w:t xml:space="preserve">Default? </w:t>
      </w:r>
      <w:r w:rsidRPr="00344C22">
        <w:rPr>
          <w:i/>
        </w:rPr>
        <w:t>Housing Studies.</w:t>
      </w:r>
      <w:r>
        <w:rPr>
          <w:i/>
        </w:rPr>
        <w:t xml:space="preserve"> </w:t>
      </w:r>
      <w:r w:rsidR="00960A0C">
        <w:t>30(8), p.1210-1234.</w:t>
      </w:r>
    </w:p>
  </w:footnote>
  <w:footnote w:id="2">
    <w:p w:rsidR="00B9631C" w:rsidRDefault="00B9631C" w:rsidP="00B963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Hegedus, J. and Tosics, I., 1992. Past tendencies and recent problems of the East European housing model. In: B. Turner, J. Hegedus and I. Tosics (Eds.) </w:t>
      </w:r>
      <w:r w:rsidRPr="005F5EB6">
        <w:rPr>
          <w:i/>
        </w:rPr>
        <w:t xml:space="preserve">The Reform of Housing in Eastern </w:t>
      </w:r>
      <w:r w:rsidR="00960A0C">
        <w:rPr>
          <w:i/>
        </w:rPr>
        <w:t>Europe</w:t>
      </w:r>
      <w:r w:rsidRPr="005F5EB6">
        <w:rPr>
          <w:i/>
        </w:rPr>
        <w:t xml:space="preserve"> and the Soviet Union</w:t>
      </w:r>
      <w:r>
        <w:rPr>
          <w:i/>
        </w:rPr>
        <w:t>.</w:t>
      </w:r>
      <w:r>
        <w:t xml:space="preserve"> London: Routledge.</w:t>
      </w:r>
    </w:p>
  </w:footnote>
  <w:footnote w:id="3">
    <w:p w:rsidR="006A39A1" w:rsidRDefault="006A39A1">
      <w:pPr>
        <w:pStyle w:val="FootnoteText"/>
        <w:rPr>
          <w:noProof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960A0C" w:rsidRPr="004C1C3F">
        <w:rPr>
          <w:noProof/>
          <w:lang w:val="en-GB"/>
        </w:rPr>
        <w:t xml:space="preserve">Kemeny, J. 1995. </w:t>
      </w:r>
      <w:r w:rsidR="00960A0C" w:rsidRPr="00CB6342">
        <w:rPr>
          <w:i/>
          <w:noProof/>
          <w:lang w:val="en-GB"/>
        </w:rPr>
        <w:t>From Public Housing to the Social Market: Rental Policy Strategies in Comparative Perspective.</w:t>
      </w:r>
      <w:r w:rsidR="00960A0C" w:rsidRPr="004C1C3F">
        <w:rPr>
          <w:noProof/>
          <w:lang w:val="en-GB"/>
        </w:rPr>
        <w:t xml:space="preserve"> London: Routledge.</w:t>
      </w:r>
      <w:r w:rsidR="00960A0C">
        <w:rPr>
          <w:noProof/>
          <w:lang w:val="en-GB"/>
        </w:rPr>
        <w:br/>
        <w:t xml:space="preserve">Harloe, M. 1995. </w:t>
      </w:r>
      <w:r w:rsidR="00960A0C">
        <w:rPr>
          <w:i/>
          <w:noProof/>
          <w:lang w:val="en-GB"/>
        </w:rPr>
        <w:t xml:space="preserve">The People’s Home: Social Rented Housing in Europe and America. </w:t>
      </w:r>
      <w:r w:rsidR="00960A0C">
        <w:rPr>
          <w:noProof/>
          <w:lang w:val="en-GB"/>
        </w:rPr>
        <w:t>Oxford: Blackwell.</w:t>
      </w:r>
    </w:p>
    <w:p w:rsidR="00960A0C" w:rsidRPr="006D5DF4" w:rsidRDefault="00960A0C">
      <w:pPr>
        <w:pStyle w:val="FootnoteText"/>
      </w:pPr>
      <w:r>
        <w:t xml:space="preserve">Blackwell, </w:t>
      </w:r>
      <w:r>
        <w:t xml:space="preserve">T., Kohl, S. 2018. Historicizing Housing Typologies: Beyond Welfare State Regimes and Varieties of Residential Capitalism. </w:t>
      </w:r>
      <w:r>
        <w:rPr>
          <w:i/>
        </w:rPr>
        <w:t xml:space="preserve">Housing Studies. </w:t>
      </w:r>
      <w:r w:rsidR="006D5DF4">
        <w:t xml:space="preserve">1-21. </w:t>
      </w:r>
      <w:hyperlink r:id="rId1" w:history="1">
        <w:r w:rsidR="006D5DF4" w:rsidRPr="00F340DE">
          <w:rPr>
            <w:rStyle w:val="Hyperlink"/>
          </w:rPr>
          <w:t>https://www.tandfonline.com/doi/abs/10.1080/02673037.2018.1487037</w:t>
        </w:r>
      </w:hyperlink>
      <w:r w:rsidR="006D5DF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03"/>
    <w:rsid w:val="000100A1"/>
    <w:rsid w:val="00015772"/>
    <w:rsid w:val="000540F2"/>
    <w:rsid w:val="000813CB"/>
    <w:rsid w:val="00082513"/>
    <w:rsid w:val="0011072C"/>
    <w:rsid w:val="00121FA4"/>
    <w:rsid w:val="001428A3"/>
    <w:rsid w:val="001B18E0"/>
    <w:rsid w:val="00201ECA"/>
    <w:rsid w:val="00302977"/>
    <w:rsid w:val="00344C22"/>
    <w:rsid w:val="00375A1A"/>
    <w:rsid w:val="00391993"/>
    <w:rsid w:val="00394A99"/>
    <w:rsid w:val="003B1B1D"/>
    <w:rsid w:val="003D1F9E"/>
    <w:rsid w:val="003D3B02"/>
    <w:rsid w:val="003D7890"/>
    <w:rsid w:val="003E654F"/>
    <w:rsid w:val="004507FA"/>
    <w:rsid w:val="00454371"/>
    <w:rsid w:val="0046383A"/>
    <w:rsid w:val="00496F56"/>
    <w:rsid w:val="004B2063"/>
    <w:rsid w:val="004D4726"/>
    <w:rsid w:val="005029EF"/>
    <w:rsid w:val="00523341"/>
    <w:rsid w:val="0054707D"/>
    <w:rsid w:val="00574424"/>
    <w:rsid w:val="005E4949"/>
    <w:rsid w:val="005F5EB6"/>
    <w:rsid w:val="00610987"/>
    <w:rsid w:val="00637903"/>
    <w:rsid w:val="00675E47"/>
    <w:rsid w:val="0069780D"/>
    <w:rsid w:val="006A39A1"/>
    <w:rsid w:val="006C563A"/>
    <w:rsid w:val="006D5DF4"/>
    <w:rsid w:val="006F4C03"/>
    <w:rsid w:val="00741BC0"/>
    <w:rsid w:val="00745D9A"/>
    <w:rsid w:val="00775FFE"/>
    <w:rsid w:val="00782F22"/>
    <w:rsid w:val="007E6509"/>
    <w:rsid w:val="007F1CAE"/>
    <w:rsid w:val="0082042D"/>
    <w:rsid w:val="00832991"/>
    <w:rsid w:val="0086660B"/>
    <w:rsid w:val="00871EE3"/>
    <w:rsid w:val="008954FA"/>
    <w:rsid w:val="008A0CFF"/>
    <w:rsid w:val="008C24F8"/>
    <w:rsid w:val="008F4A9F"/>
    <w:rsid w:val="009213F1"/>
    <w:rsid w:val="00921C53"/>
    <w:rsid w:val="00960A0C"/>
    <w:rsid w:val="00A117F7"/>
    <w:rsid w:val="00A22ADA"/>
    <w:rsid w:val="00A273EA"/>
    <w:rsid w:val="00A375AE"/>
    <w:rsid w:val="00A71DF0"/>
    <w:rsid w:val="00A76299"/>
    <w:rsid w:val="00A81C60"/>
    <w:rsid w:val="00A9329A"/>
    <w:rsid w:val="00AF4936"/>
    <w:rsid w:val="00B0628C"/>
    <w:rsid w:val="00B14977"/>
    <w:rsid w:val="00B36798"/>
    <w:rsid w:val="00B9631C"/>
    <w:rsid w:val="00BD37D1"/>
    <w:rsid w:val="00C00766"/>
    <w:rsid w:val="00C30A08"/>
    <w:rsid w:val="00C826AD"/>
    <w:rsid w:val="00C95CBD"/>
    <w:rsid w:val="00CA4D9F"/>
    <w:rsid w:val="00CC1BD6"/>
    <w:rsid w:val="00D04E8E"/>
    <w:rsid w:val="00DB1FEC"/>
    <w:rsid w:val="00DB3F19"/>
    <w:rsid w:val="00DE3DAE"/>
    <w:rsid w:val="00DF228D"/>
    <w:rsid w:val="00DF4EBF"/>
    <w:rsid w:val="00DF70CC"/>
    <w:rsid w:val="00E8644E"/>
    <w:rsid w:val="00ED7226"/>
    <w:rsid w:val="00EF6002"/>
    <w:rsid w:val="00F12435"/>
    <w:rsid w:val="00F36FDB"/>
    <w:rsid w:val="00F76874"/>
    <w:rsid w:val="00FA7C0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4674C-DA15-4B98-A828-E6A15A7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2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2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226"/>
    <w:rPr>
      <w:vertAlign w:val="superscript"/>
    </w:rPr>
  </w:style>
  <w:style w:type="character" w:customStyle="1" w:styleId="ListLabel5">
    <w:name w:val="ListLabel 5"/>
    <w:rsid w:val="00ED7226"/>
    <w:rPr>
      <w:rFonts w:cs="Symbol"/>
    </w:rPr>
  </w:style>
  <w:style w:type="character" w:styleId="Hyperlink">
    <w:name w:val="Hyperlink"/>
    <w:basedOn w:val="DefaultParagraphFont"/>
    <w:uiPriority w:val="99"/>
    <w:unhideWhenUsed/>
    <w:rsid w:val="006D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ndfonline.com/doi/abs/10.1080/02673037.2018.148703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Eszter Fugedi</cp:lastModifiedBy>
  <cp:revision>2</cp:revision>
  <cp:lastPrinted>2019-02-18T10:50:00Z</cp:lastPrinted>
  <dcterms:created xsi:type="dcterms:W3CDTF">2019-02-18T12:21:00Z</dcterms:created>
  <dcterms:modified xsi:type="dcterms:W3CDTF">2019-02-18T12:21:00Z</dcterms:modified>
</cp:coreProperties>
</file>